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D04D4C">
            <w:pPr>
              <w:rPr>
                <w:spacing w:val="-10"/>
                <w:sz w:val="18"/>
                <w:szCs w:val="18"/>
                <w:lang w:val="be-BY"/>
              </w:rPr>
            </w:pPr>
            <w:r w:rsidRPr="00D04D4C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D71B11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4360BC">
      <w:pPr>
        <w:jc w:val="center"/>
        <w:rPr>
          <w:sz w:val="20"/>
          <w:szCs w:val="20"/>
        </w:rPr>
      </w:pPr>
      <w:r w:rsidRPr="004360BC">
        <w:rPr>
          <w:sz w:val="20"/>
          <w:szCs w:val="20"/>
        </w:rPr>
        <w:t xml:space="preserve">КАРАР                                                   </w:t>
      </w:r>
      <w:r w:rsidR="00AC37CD" w:rsidRPr="004360BC">
        <w:rPr>
          <w:sz w:val="20"/>
          <w:szCs w:val="20"/>
        </w:rPr>
        <w:t xml:space="preserve">                           </w:t>
      </w:r>
      <w:r w:rsidRPr="004360BC">
        <w:rPr>
          <w:sz w:val="20"/>
          <w:szCs w:val="20"/>
        </w:rPr>
        <w:t>ПОСТАНОВЛЕНИЕ</w:t>
      </w:r>
    </w:p>
    <w:p w:rsidR="00106049" w:rsidRPr="004360BC" w:rsidRDefault="00106049" w:rsidP="004360BC">
      <w:pPr>
        <w:jc w:val="center"/>
        <w:rPr>
          <w:sz w:val="20"/>
          <w:szCs w:val="20"/>
        </w:rPr>
      </w:pPr>
    </w:p>
    <w:p w:rsidR="00A32DFF" w:rsidRDefault="00927EAE" w:rsidP="00A32DFF">
      <w:pPr>
        <w:ind w:left="266"/>
        <w:jc w:val="center"/>
      </w:pPr>
      <w:r>
        <w:t>2</w:t>
      </w:r>
      <w:r w:rsidR="00C865E5">
        <w:t>0</w:t>
      </w:r>
      <w:r w:rsidR="007325F1">
        <w:t xml:space="preserve"> май</w:t>
      </w:r>
      <w:r w:rsidR="00A32DFF">
        <w:t xml:space="preserve"> 2022 й.                            №</w:t>
      </w:r>
      <w:r w:rsidR="007325F1">
        <w:t>2</w:t>
      </w:r>
      <w:r>
        <w:t>1</w:t>
      </w:r>
      <w:r w:rsidR="00A32DFF">
        <w:t xml:space="preserve">                  </w:t>
      </w:r>
      <w:r>
        <w:t>2</w:t>
      </w:r>
      <w:r w:rsidR="00C865E5">
        <w:t>0</w:t>
      </w:r>
      <w:r>
        <w:t xml:space="preserve"> </w:t>
      </w:r>
      <w:r w:rsidR="007325F1">
        <w:t xml:space="preserve"> мая</w:t>
      </w:r>
      <w:r w:rsidR="00A32DFF">
        <w:t xml:space="preserve">  2022 г.</w:t>
      </w:r>
    </w:p>
    <w:p w:rsidR="005B11A0" w:rsidRDefault="005B11A0" w:rsidP="00A32DFF">
      <w:pPr>
        <w:ind w:left="266"/>
        <w:jc w:val="center"/>
      </w:pPr>
    </w:p>
    <w:p w:rsidR="00C865E5" w:rsidRDefault="00C865E5" w:rsidP="00C865E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Староянбаевский сельсовет муниципального района Балтачевский  район Республики Башкортостан и требований к договорам, заключаемым в связи с предоставлением бюджетных инвестиций юридическим лицам, не являющимся муниципальными учреждениями и муниципальными унитарными предприятиями, за счет бюджета сельского поселения.</w:t>
      </w:r>
    </w:p>
    <w:p w:rsidR="00C865E5" w:rsidRDefault="00C865E5" w:rsidP="00C865E5">
      <w:pPr>
        <w:jc w:val="both"/>
        <w:rPr>
          <w:sz w:val="26"/>
          <w:szCs w:val="26"/>
        </w:rPr>
      </w:pP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80 Бюджетного кодекса Российской Федерации постановляю:</w:t>
      </w:r>
    </w:p>
    <w:p w:rsidR="00C865E5" w:rsidRDefault="00C865E5" w:rsidP="00C865E5">
      <w:pPr>
        <w:jc w:val="both"/>
        <w:rPr>
          <w:sz w:val="26"/>
          <w:szCs w:val="26"/>
        </w:rPr>
      </w:pPr>
      <w:r>
        <w:rPr>
          <w:sz w:val="26"/>
          <w:szCs w:val="26"/>
        </w:rPr>
        <w:t>1. Утвердить прилагаемые: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 Правила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Староянбаевский сельсовет муниципального района Балтачевский  район Республики Башкортостан;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1.2.Требования к договорам, заключаемым в связи с предоставлением бюджетных 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Староянбаевский сельсовет муниципального района Балтачевский  район Республики Башкортостан.</w:t>
      </w:r>
    </w:p>
    <w:p w:rsidR="00C865E5" w:rsidRDefault="00C865E5" w:rsidP="00C865E5">
      <w:pPr>
        <w:jc w:val="both"/>
        <w:rPr>
          <w:sz w:val="26"/>
          <w:szCs w:val="26"/>
        </w:rPr>
      </w:pPr>
      <w:r>
        <w:rPr>
          <w:sz w:val="26"/>
          <w:szCs w:val="26"/>
        </w:rPr>
        <w:t>2 Контроль за исполнением настоящего постановления оставляю за собой.</w:t>
      </w:r>
    </w:p>
    <w:p w:rsidR="00C865E5" w:rsidRDefault="00C865E5" w:rsidP="00C865E5">
      <w:pPr>
        <w:jc w:val="both"/>
        <w:rPr>
          <w:sz w:val="26"/>
          <w:szCs w:val="26"/>
        </w:rPr>
      </w:pPr>
    </w:p>
    <w:p w:rsidR="00C865E5" w:rsidRDefault="00C865E5" w:rsidP="00C865E5">
      <w:pPr>
        <w:jc w:val="both"/>
        <w:rPr>
          <w:sz w:val="26"/>
          <w:szCs w:val="26"/>
        </w:rPr>
      </w:pPr>
    </w:p>
    <w:p w:rsidR="00C865E5" w:rsidRDefault="00C865E5" w:rsidP="00C865E5">
      <w:pPr>
        <w:rPr>
          <w:sz w:val="26"/>
          <w:szCs w:val="26"/>
        </w:rPr>
      </w:pPr>
      <w:r>
        <w:rPr>
          <w:sz w:val="26"/>
          <w:szCs w:val="26"/>
        </w:rPr>
        <w:t xml:space="preserve">Глава сельского поселения </w:t>
      </w:r>
    </w:p>
    <w:p w:rsidR="00C865E5" w:rsidRDefault="00C865E5" w:rsidP="00C865E5">
      <w:pPr>
        <w:rPr>
          <w:sz w:val="26"/>
          <w:szCs w:val="26"/>
        </w:rPr>
      </w:pPr>
      <w:r>
        <w:rPr>
          <w:sz w:val="26"/>
          <w:szCs w:val="26"/>
        </w:rPr>
        <w:t>Староянбаевский сельсовет                                                      Р.М.Ахунов</w:t>
      </w:r>
      <w:r>
        <w:rPr>
          <w:sz w:val="26"/>
          <w:szCs w:val="26"/>
        </w:rPr>
        <w:br w:type="page"/>
      </w:r>
    </w:p>
    <w:p w:rsidR="00C865E5" w:rsidRDefault="00C865E5" w:rsidP="00C865E5">
      <w:pPr>
        <w:pStyle w:val="42"/>
        <w:shd w:val="clear" w:color="auto" w:fill="auto"/>
        <w:spacing w:line="269" w:lineRule="exact"/>
        <w:ind w:left="5380"/>
        <w:jc w:val="both"/>
      </w:pPr>
      <w:r>
        <w:lastRenderedPageBreak/>
        <w:t>Утвержден постановлением главы сельского поселения Староянбаевский сельсовет муниципального района Балтачевский район РБ № 21 от 20.05.2022 г.</w:t>
      </w:r>
    </w:p>
    <w:p w:rsidR="00C865E5" w:rsidRDefault="00C865E5" w:rsidP="00C865E5">
      <w:pPr>
        <w:jc w:val="right"/>
        <w:rPr>
          <w:sz w:val="26"/>
          <w:szCs w:val="26"/>
        </w:rPr>
      </w:pPr>
    </w:p>
    <w:p w:rsidR="00C865E5" w:rsidRDefault="00C865E5" w:rsidP="00C865E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Правила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Староянбаевский сельсовет муниципального района Балтачевский  район Республики Башкортостан.</w:t>
      </w:r>
    </w:p>
    <w:p w:rsidR="00C865E5" w:rsidRDefault="00C865E5" w:rsidP="00C865E5">
      <w:pPr>
        <w:jc w:val="center"/>
        <w:rPr>
          <w:sz w:val="26"/>
          <w:szCs w:val="26"/>
        </w:rPr>
      </w:pPr>
      <w:r>
        <w:rPr>
          <w:sz w:val="26"/>
          <w:szCs w:val="26"/>
        </w:rPr>
        <w:t>ОСНОВНЫЕ ПОЛОЖЕНИЯ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Настоящие Правила устанавливают порядок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 (далее - юридическое лицо), в объекты капитального строительства за счет средств бюджета сельского поселения на реализацию инвестиционных проектов по строительству (реконструкции, в том числе с элементами реставрации, техническому перевооружению) объектов капитального строительства, находящихся в собственности указанных юридических лиц, и (или) на приобретение ими объектов недвижимого имущества либо в целях предоставления взносов (вкладов) в уставные (складочные) капиталы дочерних обществ юридических лиц на осуществление капитальных вложений в объекты капитального строительства, находящиеся в собственности таких дочерних обществ, и (или) на приобретение ими объектов недвижимого имущества (далее соответственно - решение; бюджетные инвестиции).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Инициатором подготовки проекта решения может выступать орган местного самоуправления, ответственный за реализацию мероприятия муниципальной программы, предусматривающего строительство (реконструкцию, в том числе с элементами реставрации, техническое перевооружение) объекта капитального строительства и (или) приобретение объекта недвижимого имущества, а в случае, если объект капитального строительства и (или) объект недвижимого имущества не включены в муниципальную программу, - орган местного самоуправления, в сфере деятельности которого будет функционировать создаваемый объект капитального строительства и (или) приобретаемый объект недвижимого имущества (далее - главный распорядитель).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3.Отбор объектов капитального строительства и объектов недвижимого имущества, на реализацию инвестиционных проектов по строительству (реконструкции, в том числе с элементами реставрации, техническому перевооружению) и (или) приобретению которых необходимо осуществлять бюджетные инвестиции, производится с учетом: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приоритетов и целей развития сельского поселения, исходя из прогнозов и программ социально-экономического развития сельского поселения, муниципальных программ сельского поселения, а также документов территориального планирования;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поручений и указаний Главы Администрации сельского поселения;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оценки эффективности использования средств бюджета сельского поселения, направляемых на капитальные вложения;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г)</w:t>
      </w:r>
      <w:r>
        <w:rPr>
          <w:sz w:val="26"/>
          <w:szCs w:val="26"/>
        </w:rPr>
        <w:tab/>
        <w:t>оценки влияния создания объекта капитального строительства на комплексное развитие территорий сельского поселения;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оценки влияния создания объекта капитального строительства и (или) приобретения объекта недвижимого имущества на конкурентную среду в сфере деятельности юридического лица.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 Предоставление бюджетных инвестиций осуществляется при условии, что эти инвестиции не могут быть направлены юридическим лицом на финансовое обеспечение следующих работ: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разработки проектной документации на объекты капитального строительства и проведения инженерных изысканий, выполняемых для подготовки такой проектной документации;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приобретения земельных участков под строительство;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проведения государственной (негосударственной) экспертизы проектной документации и результатов инженерных изысканий, выполняемых для подготовки такой проектной документации;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проведения проверки достоверности определения сметной стоимости объектов капитального строительства, строительство (реконструкция, в том числе с элементами реставрации, техническое перевооружение) которых финансируется с привлечением средств бюджета муниципального района;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проведение аудита проектной документации в случаях, установленных законодательством Российской Федерации;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е)</w:t>
      </w:r>
      <w:r>
        <w:rPr>
          <w:sz w:val="26"/>
          <w:szCs w:val="26"/>
        </w:rPr>
        <w:tab/>
        <w:t>проведения технологического и ценового аудита инвестиционных проектов по строительству (реконструкции, техническому перевооружению) объектов капитального строительства в установленных законодательством Российской Федерации случаях.</w:t>
      </w:r>
    </w:p>
    <w:p w:rsidR="00C865E5" w:rsidRDefault="00C865E5" w:rsidP="00C865E5">
      <w:pPr>
        <w:jc w:val="both"/>
        <w:rPr>
          <w:sz w:val="26"/>
          <w:szCs w:val="26"/>
        </w:rPr>
      </w:pPr>
    </w:p>
    <w:p w:rsidR="00C865E5" w:rsidRDefault="00C865E5" w:rsidP="00C865E5">
      <w:pPr>
        <w:ind w:left="2127" w:firstLine="709"/>
        <w:jc w:val="both"/>
        <w:rPr>
          <w:sz w:val="26"/>
          <w:szCs w:val="26"/>
        </w:rPr>
      </w:pPr>
      <w:r>
        <w:rPr>
          <w:sz w:val="26"/>
          <w:szCs w:val="26"/>
        </w:rPr>
        <w:t>II. ПОДГОТОВКА ПРОЕКТА РЕШЕНИЯ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5.Проект решения подготавливает главный распорядитель.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6.Проект решения подготавливается в форме проекта нормативного правового акта сельского поселения о предоставлении бюджетных инвестиций юридическим лицам в объекты капитального строительства и (или) на приобретение объектов недвижимого имущества за счет средств бюджета сельского поселения.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проект решения включаются объект капитального строительства и (или) объект недвижимого имущества, инвестиционные проекты, которые соответствуют качественным и количественным критериям и предельному (минимальному) значению интегральной оценки эффективности использования средств бюджета сельского поселения, направляемых на капитальные вложения, проведенной главным распорядителем в порядке, установленном Администрацией сельского поселения, а также документам территориального планирования муниципального района в случае, если объект капитального строительства и (или) объект недвижимого имущества являются объектами, подлежащими отображению в этих документах.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проект решения может быть включено несколько объектов капитального строительства и (или) объектов недвижимого имущества одного юридического лица, относящихся к одному мероприятию муниципальной программы или одной сфере деятельности главного распорядителя.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решения, указанные в пункте 5 настоящих Правил, в отношении таких объектов капитального строительства принимаются в том числе на основании </w:t>
      </w:r>
      <w:r>
        <w:rPr>
          <w:sz w:val="26"/>
          <w:szCs w:val="26"/>
        </w:rPr>
        <w:lastRenderedPageBreak/>
        <w:t>подготовленного в установленном законодательством Российской Федерации порядке обоснования инвестиций и полученных результатов его технологического и ценового аудита, а также утвержденного задания на архитектурно-строительное проектирование.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 Проект решения содержит в отношении каждого объекта капитального строительства и (или) недвижимого имущества следующую информацию: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наименование объекта капитального строительства согласно проектной документации (паспорту инвестиционного проекта в отношении объекта капитального строительства в случае отсутствия утвержденной в установленном законодательством Российской</w:t>
      </w:r>
    </w:p>
    <w:p w:rsidR="00C865E5" w:rsidRDefault="00C865E5" w:rsidP="00C865E5">
      <w:pPr>
        <w:jc w:val="both"/>
        <w:rPr>
          <w:sz w:val="26"/>
          <w:szCs w:val="26"/>
        </w:rPr>
      </w:pPr>
      <w:r>
        <w:rPr>
          <w:sz w:val="26"/>
          <w:szCs w:val="26"/>
        </w:rPr>
        <w:t>Федерации порядке проектной документации на дату подготовки проекта решения) и (или) наименование объекта недвижимого имущества;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направление инвестирования (строительство, реконструкция, в том числе с элементами реставрации, техническое перевооружение объекта капитального строительства и (или) приобретение объекта недвижимости);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определение главного распорядителя;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определение застройщика или заказчика (заказчика-застройщика);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мощность (прирост мощности) объекта капитального строительства, подлежащего вводу в эксплуатацию, мощность объекта недвижимого имущества;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е)</w:t>
      </w:r>
      <w:r>
        <w:rPr>
          <w:sz w:val="26"/>
          <w:szCs w:val="26"/>
        </w:rPr>
        <w:tab/>
        <w:t>срок ввода в эксплуатацию объекта капитального строительства и (или) приобретения объекта недвижимости;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ж)</w:t>
      </w:r>
      <w:r>
        <w:rPr>
          <w:sz w:val="26"/>
          <w:szCs w:val="26"/>
        </w:rPr>
        <w:tab/>
        <w:t>сметную стоимость объекта капитального строительства (при наличии утвержденной проектной документации) или предполагаемую (предельную) стоимость объекта капитального строительства и (или) стоимость приобретения объекта недвижимого имущества согласно паспорту инвестиционного проекта, а также распределение указанных стоимостей по годам реализации инвестиционного проекта (в ценах соответствующих лет реализации инвестиционного проекта);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з)</w:t>
      </w:r>
      <w:r>
        <w:rPr>
          <w:sz w:val="26"/>
          <w:szCs w:val="26"/>
        </w:rPr>
        <w:tab/>
        <w:t>общий объем капитальных вложений в строительство (реконструкцию, в том числе с элементами реставрации, техническое перевооружение) объекта капитального строительства и (или) в приобретение объекта недвижимого имущества, а также распределение указанного объема по годам реализации инвестиционного проекта (в ценах соответствующих лет реализации инвестиционного проекта);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8. Общий (предельный) объем бюджетных инвестиций, предоставляемых на реализацию инвестиционного проекта, не может быть установлен выше 90 процентов и ниже 5 процентов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 (или) стоимости приобретения объекта недвижимого имущества согласно паспорту инвестиционного проекта (в ценах соответствующих лет реализации инвестиционного проекта).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 реализации инвестиционного проекта в рамках мероприятий государственной программы Республики Башкортостан общий (предельный) объем бюджетных инвестиций, предоставляемых на реализацию такого инвестиционного проекта, не должен превышать объема бюджетных ассигнований на реализацию соответствующего мероприятия этой муниципальной программы.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9. Главный распорядитель направляет согласованный с ответственным исполнителем муниципальной программы муниципального района проект решения с приложением документов и материалов на согласование.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Одновременно с проектом решения по каждому объекту капитального строительства и (или) объекту недвижимого имущества также направляются </w:t>
      </w:r>
      <w:r>
        <w:rPr>
          <w:sz w:val="26"/>
          <w:szCs w:val="26"/>
        </w:rPr>
        <w:lastRenderedPageBreak/>
        <w:t>документы, материалы и исходные данные, необходимые для оценки эффективности инвестиционного проекта, указанной в абзаце втором пункта 6 настоящих Правил, и результаты такой оценки. Кроме того, представляются следующие документы: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копии годовой бухгалтерской (финансовой) отчетности юридического лица, состоящей из бухгалтерского баланса, отчета о финансовых результатах, отчета о целевом использовании средств и приложений к ним за предыдущие 2 года;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решения общего собрания участников (акционеров) юридического лица о выплате дивидендов по акциям всех категорий (типов) за предыдущие 2 года;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решение уполномоченного органа юридического лица о финансировании объекта капитального строительства и (или) объекта недвижимого имущества в объеме, предусмотренном в подпункте "з" пункта 7 настоящих Правил.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Обязательным условием согласования проекта решения является положительное заключение об эффективности использования средств бюджета муниципального района, направляемых на капитальные вложения, в отношении объекта капитального строительства и (или) объекта недвижимого имущества.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11. На основании принятого решения о предоставлении бюджетных инвестиций юридическим лицам в объекты капитального строительства и (или) на приобретение объектов недвижимости за счет средств бюджета сельского поселения указанные расходы включаются в муниципальную программу в установленном порядке</w:t>
      </w:r>
    </w:p>
    <w:p w:rsidR="00C865E5" w:rsidRDefault="00C865E5" w:rsidP="00C865E5">
      <w:pPr>
        <w:rPr>
          <w:sz w:val="26"/>
          <w:szCs w:val="26"/>
        </w:rPr>
        <w:sectPr w:rsidR="00C865E5">
          <w:pgSz w:w="11900" w:h="16840"/>
          <w:pgMar w:top="667" w:right="634" w:bottom="1393" w:left="1517" w:header="0" w:footer="3" w:gutter="0"/>
          <w:cols w:space="720"/>
        </w:sectPr>
      </w:pP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Утверждено</w:t>
      </w: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главы сельского поселения </w:t>
      </w: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Староянбаевский сельсовет </w:t>
      </w: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t>муниципального района</w:t>
      </w: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Балтачевский район </w:t>
      </w: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</w:p>
    <w:p w:rsidR="00C865E5" w:rsidRDefault="00C865E5" w:rsidP="00C865E5">
      <w:pPr>
        <w:jc w:val="right"/>
        <w:rPr>
          <w:sz w:val="26"/>
          <w:szCs w:val="26"/>
        </w:rPr>
      </w:pPr>
      <w:r>
        <w:rPr>
          <w:sz w:val="26"/>
          <w:szCs w:val="26"/>
        </w:rPr>
        <w:t>от «20» мая г. № 21</w:t>
      </w:r>
    </w:p>
    <w:p w:rsidR="00C865E5" w:rsidRDefault="00C865E5" w:rsidP="00C865E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договорам, заключаемым в связи с предоставлением бюджетных</w:t>
      </w:r>
      <w:r>
        <w:rPr>
          <w:b/>
          <w:sz w:val="26"/>
          <w:szCs w:val="26"/>
        </w:rPr>
        <w:br/>
        <w:t>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Староянбаевский сельсовет муниципального района Балтачевский  район Республики Башкортостан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1.Настоящий документ устанавливает требования к договору о предоставлении бюджетных инвестиций юридическому лицу, не являющемуся муниципальным учреждением и муниципальным унитарным предприятием (далее соответственно - юридическое лицо, получающее бюджетные инвестиции), заключаемому между Администрацией сельского поселения, осуществляющим полномочия собственника в отношении акций (долей) в уставном (складочном) капитале юридического лица, получающего бюджетные инвестиции, и юридическим лицом, получающим бюджетные инвестиции (далее - договор о предоставлении бюджетных инвестиций).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Договор о предоставлении бюджетных инвестиций заключается в пределах бюджетных ассигнований, утвержденных решением Совета сельского поселения о бюджете сельского поселения на соответствующий финансовый год и плановый период, и лимитов бюджетных обязательств, доведенных в установленном порядке для предоставления бюджетных инвестиций.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Договором о предоставлении бюджетных инвестиций предусматриваются: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целевое назначение бюджетных инвестиций и их объем (с распределением по годам);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показатели результативности предоставления бюджетных инвестиций (далее - показатели результативности) и их плановые значения;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положения, устанавливающие права и обязанности сторон договора о предоставлении бюджетных инвестиций и порядок взаимодействия сторон при его реализации;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сроки (порядок определения сроков) принятия в установленном законодательством Российской Федерации порядке решения об увеличении уставного капитала юридического лица, получающего бюджетные инвестиции, являющегося акционерным обществом, путем размещения дополнительных акций на сумму предоставляемых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порядок, объемы и сроки (порядок определения сроков) оплаты акций (долей) в уставном (складочном) капитале юридического лица, получающего бюджетные инвестиции;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е)</w:t>
      </w:r>
      <w:r>
        <w:rPr>
          <w:sz w:val="26"/>
          <w:szCs w:val="26"/>
        </w:rPr>
        <w:tab/>
        <w:t>положения, предусматривающие перечисление бюджетных инвестиций в случаях установления казначейского сопровождения Управлением Федерального казначейства по Республике Башкортостан в соответствии с требованиями бюджетного законодательства Российской Федерации на счет, открытый в Управлении Федерального казначейства по Республике Башкортостан для учета денежных средств юридических лиц, не являющихся участниками бюджетного процесса;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ж)</w:t>
      </w:r>
      <w:r>
        <w:rPr>
          <w:sz w:val="26"/>
          <w:szCs w:val="26"/>
        </w:rPr>
        <w:tab/>
        <w:t xml:space="preserve">условие об осуществлении операций по зачислению (списанию) средств на счет (со счета), указанный (-ого) в подпункте "е" настоящего пункта, в порядке, установленном Управлением Федерального казначейства по Республике Башкортостан, с отражением данных операций на лицевом счете, предназначенном для учета операций </w:t>
      </w:r>
      <w:r>
        <w:rPr>
          <w:sz w:val="26"/>
          <w:szCs w:val="26"/>
        </w:rPr>
        <w:lastRenderedPageBreak/>
        <w:t>со средствами юридических лиц, не являющихся участниками бюджетного процесса, открытом юридическому лицу, получающему бюджетные инвестиции, в порядке, установленном Управлением Федерального казначейства по Республике Башкортостан;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з)</w:t>
      </w:r>
      <w:r>
        <w:rPr>
          <w:sz w:val="26"/>
          <w:szCs w:val="26"/>
        </w:rPr>
        <w:tab/>
        <w:t>условие об осуществлении операций по списанию средств, отраженных на лицевом счете, указанном в подпункте "ж" настоящего пункта, после проведения Управлением Федерального казначейства по Республике Башкортостан санкционирования операций в порядке, установленном Министерством финансов Российской Федерации определяющий, в том числе перечень документов, подлежащих представлению в Управление Федерального казначейства по Республике Башкортостан для подтверждения возникновения денежных обязательств юридического лица, получающего бюджетные инвестиции, источником финансового обеспечения, которых являются указанные средства;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и)</w:t>
      </w:r>
      <w:r>
        <w:rPr>
          <w:sz w:val="26"/>
          <w:szCs w:val="26"/>
        </w:rPr>
        <w:tab/>
        <w:t>положения о запрете: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приобретение юридическим лицом, получающим бюджетные инвестиции,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 инвестиций и определенных решениями Правительства Республики Башкортостан;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к)</w:t>
      </w:r>
      <w:r>
        <w:rPr>
          <w:sz w:val="26"/>
          <w:szCs w:val="26"/>
        </w:rPr>
        <w:tab/>
        <w:t>порядок и сроки представления юридическим лицом, получающим бюджетные инвестиции, установленной республиканским органом исполнительной власти, предоставляющим бюджетные инвестиции, отчетности о расходах, источником финансового обеспечения которых являются бюджетные инвестиции, а также о достижении плановых значений показателей результативности;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л)</w:t>
      </w:r>
      <w:r>
        <w:rPr>
          <w:sz w:val="26"/>
          <w:szCs w:val="26"/>
        </w:rPr>
        <w:tab/>
        <w:t>право муниципального органа, предоставляющего бюджетные инвестиции, на проведение проверок соблюдения юридическим лицом, получающим бюджетные инвестиции, целей, условий и порядка предоставления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м)</w:t>
      </w:r>
      <w:r>
        <w:rPr>
          <w:sz w:val="26"/>
          <w:szCs w:val="26"/>
        </w:rPr>
        <w:tab/>
        <w:t>ответственность юридического лица, получающего бюджетные инвестиции, за несоблюдение условий предоставления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н)</w:t>
      </w:r>
      <w:r>
        <w:rPr>
          <w:sz w:val="26"/>
          <w:szCs w:val="26"/>
        </w:rPr>
        <w:tab/>
        <w:t>порядок возврата юридическим лицом, получающим бюджетные инвестиции, полученных средств в случае установления факта несоблюдения им целей, условий и порядка предоставления бюджетных инвестиций.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 Договором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объектов недвижимого имущества, помимо положений, указанных в пункте 3 настоящего документа, также предусматриваются: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(предполагаемой (предельной) стоимости) и (или) стоимости приобретения, а также информация об общем объеме капитальных вложений за счет всех источников финансового обеспечения с выделением объема бюджетных инвестиций и иных источников финансового обеспечения (с распределением указанных объемов по годам);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б)</w:t>
      </w:r>
      <w:r>
        <w:rPr>
          <w:sz w:val="26"/>
          <w:szCs w:val="26"/>
        </w:rPr>
        <w:tab/>
        <w:t>обязательство юридического лица, получающего бюджетные инвестиции, обеспечить вложение в реализацию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по приобретению объектов недвижимого имущества инвестиций в объеме, предусмотренном нормативным правовым актом муниципального района о предоставлении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обязанность юридического лица, получающего бюджетные инвестиции, обеспечить разработку проектной документации в отношении объектов капитального строительства и проведение инженерных изысканий, выполняемых для подготовки такой проектной документации, приобретение земельных участков под строительство (в случае необходимости), проведение государственной экспертизы проектной документации и результатов инженерных изысканий, проведение в установленном Правительством Российской Федерации порядке проверки достоверности определения сметной стоимости объектов капитального строительства, а также проведение в установленных законодательством случаях и порядке технологического и ценового аудита инвестиционных проектов и аудита проектной документации без использования на эти цели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условие о соблюдении юридическим лицом, получающим бюджетные инвестиции,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обязательство юридического лица, получающего бюджетные инвестиции, обеспечить осуществление эксплуатационных расходов, необходимых для содержания объектов капитального строительства и (или) объектов недвижимого имущества после ввода их в эксплуатацию и (или) приобретения, без использования на эти цели средств, предоставляемых из бюджета муниципального района, в том числе в соответствии с иными договорами о предоставлении бюджетных инвестиций.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 Положения договора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объектов недвижимого имущества должны соответствовать аналогичным положениям нормативного правового акта муниципального района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объектов недвижимого имущества.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Договором о предоставлении бюджетных инвестиций в целях последующего предоставления взносов в уставные (складочные) капиталы дочерних обществ юридического лица, получающего бюджетные инвестиции (далее - дочерние общества), и (или) вкладов в имущество дочерних обществ, не увеличивающих их уставный (складочный) капитал (далее - взносы (вклады)), помимо положений, указанных в пункте 3 настоящих Требований, также предусматриваются: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целевое назначение предоставляемых взносов (вкладов), соответствующее целевому назначению предоставляемых бюджетных инвестиций, и объем этих взносов (вкладов) (с распределением по годам);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сроки перечисления взносов (вкладов), которые не могут превышать 90 календарных дней со дня перечисления бюджетных инвестиций юридическому лицу, получающему бюджетные инвестиции;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7. Договором о предоставлении бюджетных инвестиций в целях последующего предоставления взносов в уставные (складочные) капиталы дочерних обществ на осуществление капитальных вложений в объекты капитального строительства, которые находятся (будут находиться) в собственности дочерних обществ, и (или) на приобретение дочерними обществами объектов недвижимого имущества (далее - взносы на осуществление капитальных вложений) предусматриваются положения, указанные в пункте 3, подпунктах "а" - "в" пункта 4 и пункте 6 настоящих Требований.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8. Договором между юридическим лицом, получающим бюджетные инвестиции, и дочерним обществом о предоставлении взноса (вклада), настоящих Требований, предусматриваются: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целевое назначение взноса (вклада) и его объем (с распределением по годам);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показатели результативности и их плановые значения;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положения, устанавливающие права и обязанности сторон и порядок их взаимодействия при реализации договора о предоставлении взноса (вклада);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сроки (порядок определения сроков) принятия в установленном законодательством Российской Федерации порядке решения об увеличении уставного (складочного) капитала дочернего общества, являющегося акционерным обществом, путем реализации дополнительного выпуска акций на сумму предоставляемого взноса;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сроки перечисления взноса (вклада);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е)</w:t>
      </w:r>
      <w:r>
        <w:rPr>
          <w:sz w:val="26"/>
          <w:szCs w:val="26"/>
        </w:rPr>
        <w:tab/>
        <w:t>положения, предусматривающие осуществление операций по перечислению взноса (вклада) за счет средств, отраженных на лицевом счете, указанном в подпункте "ж" пункта 3 настоящего Требования, на счете, открытом в Управлении Федерального казначейства по Республике Башкортостан для учета денежных средств юридических лиц, не являющихся участниками бюджетного процесса;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ж)</w:t>
      </w:r>
      <w:r>
        <w:rPr>
          <w:sz w:val="26"/>
          <w:szCs w:val="26"/>
        </w:rPr>
        <w:tab/>
        <w:t>условие об осуществлении операций по списанию средств со счета, указанного в подпункте "е" настоящего пункта, в порядке, установленном Управлением Федерального казначейства по Республике Башкортостан, с отражением указанных операций на лицевом счете, предназначенном для учета операций со средствами юридических лиц, не являющихся участниками бюджетного процесса, открытом дочернему обществу в порядке, установленном Управлением Федерального казначейства по Республике Башкортостан;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з)</w:t>
      </w:r>
      <w:r>
        <w:rPr>
          <w:sz w:val="26"/>
          <w:szCs w:val="26"/>
        </w:rPr>
        <w:tab/>
        <w:t>условие об осуществлении операций по списанию средств, отраженных на лицевом счете, указанном в подпункте "ж" настоящего пункта, после проведения Управлением Федерального казначейства по Республике Башкортостан санкционирования операций в порядке, установленном Министерством финансов Российской Федерации, определяющем в том числе перечень документов, подлежащих представлению в Управление Федерального казначейства по Республике Башкортостан для подтверждения возникновения денежных обязательств дочернего общества, источником финансового обеспечения которых являются указанные средства;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и)</w:t>
      </w:r>
      <w:r>
        <w:rPr>
          <w:sz w:val="26"/>
          <w:szCs w:val="26"/>
        </w:rPr>
        <w:tab/>
        <w:t>положения о запрете: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приобретение дочерним обществом за счет полученных средств, отраженных на лицевом счете, указанном в подпункте "ж" настоящего пункта, иностранной валюты, за исключением случаев, предусмотренных договором о предоставлении бюджетных инвестиций в отношении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 инвестиций и определенных решениями Правительства Российской Федерации;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осуществление операций, определенных нормативными правовыми актами Правительства Российской Федерации, в том числе в случаях, установленных в </w:t>
      </w:r>
      <w:r>
        <w:rPr>
          <w:sz w:val="26"/>
          <w:szCs w:val="26"/>
        </w:rPr>
        <w:lastRenderedPageBreak/>
        <w:t>соответствии с бюджетным законодательством Российской Федерации, при осуществлении казначейского сопровождения взноса (вклада);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к)</w:t>
      </w:r>
      <w:r>
        <w:rPr>
          <w:sz w:val="26"/>
          <w:szCs w:val="26"/>
        </w:rPr>
        <w:tab/>
        <w:t>порядок и сроки представления дочерним обществом отчетности о расходах, источником финансового обеспечения которых являются полученные средства, а также о достижении плановых значений показателей результативности;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л)</w:t>
      </w:r>
      <w:r>
        <w:rPr>
          <w:sz w:val="26"/>
          <w:szCs w:val="26"/>
        </w:rPr>
        <w:tab/>
        <w:t>право юридического лица, получающего бюджетные инвестиции, и республиканского органа исполнительной власти, предоставляющего бюджетные инвестиции, на проведение проверок соблюдения дочерним обществом целей, условий и порядка предоставления взноса (вклада);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м)</w:t>
      </w:r>
      <w:r>
        <w:rPr>
          <w:sz w:val="26"/>
          <w:szCs w:val="26"/>
        </w:rPr>
        <w:tab/>
        <w:t>ответственность дочернего общества за несоблюдение условий, определенных договором о предоставлении взноса (вклада), а также порядок возврата дочерним обществом полученных средств в случае установления факта несоблюдения им целей, условий, которые определены указанным договором.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9. Договором между юридическим лицом, получающим бюджетные инвестиции, и дочерним обществом о предоставлении взноса на осуществление капитальных вложений, помимо положений, указанных в пункте 8 настоящих Требований, также предусматриваются: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(предполагаемой (предельной) стоимости) и (или) стоимости приобретения, а также информация об общем объеме капитальных вложений за счет всех источников финансового обеспечения с выделением размера взноса (вклада) (с распределением указанных объемов по годам);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обязанность дочернего общества направить на реализацию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по приобретению объектов недвижимого имущества инвестиции в объеме, предусмотренном принятым в установленном Правительством Республики Башкортостан порядке решением (нормативным правовым актом) Правительства Республики Башкортостан о предоставлении бюджетных инвестиций;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обязанность дочернего общества обеспечить выполнение работ, указанных в подпункте "в" пункта 4 настоящих Требований, и приобретение земельных участков под строительство (в случае необходимости) без использования на эти цели полученных средств, отраженных на лицевом счете, указанном в подпункте "ж" настоящего пункта;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условие о соблюдении дочерним обществом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отраженных на лицевом счете, указанном в подпункте "ж" пункта 8 настоящих Требований,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10. Положения договора о предоставлении взноса (вклада) должны соответствовать аналогичным положениям договора о предоставлении бюджетных инвестиций.</w:t>
      </w:r>
    </w:p>
    <w:p w:rsidR="00C865E5" w:rsidRDefault="00C865E5" w:rsidP="00C865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11. В договор о предоставлении бюджетных инвестиций в дополнение к положениям, установленным настоящим документом, также включаются положения, содержащие условия, определенные иными нормативными правовыми актами муниципального района.</w:t>
      </w:r>
    </w:p>
    <w:sectPr w:rsidR="00C865E5" w:rsidSect="00455B7C">
      <w:headerReference w:type="even" r:id="rId9"/>
      <w:headerReference w:type="default" r:id="rId10"/>
      <w:headerReference w:type="first" r:id="rId11"/>
      <w:pgSz w:w="11906" w:h="16838" w:code="9"/>
      <w:pgMar w:top="567" w:right="567" w:bottom="851" w:left="1418" w:header="57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7F8" w:rsidRDefault="00B477F8">
      <w:r>
        <w:separator/>
      </w:r>
    </w:p>
  </w:endnote>
  <w:endnote w:type="continuationSeparator" w:id="1">
    <w:p w:rsidR="00B477F8" w:rsidRDefault="00B47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7F8" w:rsidRDefault="00B477F8">
      <w:r>
        <w:separator/>
      </w:r>
    </w:p>
  </w:footnote>
  <w:footnote w:type="continuationSeparator" w:id="1">
    <w:p w:rsidR="00B477F8" w:rsidRDefault="00B47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B7C" w:rsidRDefault="00D04D4C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55B7C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55B7C" w:rsidRDefault="00455B7C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455B7C" w:rsidRDefault="00D04D4C">
        <w:pPr>
          <w:pStyle w:val="ab"/>
          <w:jc w:val="center"/>
        </w:pPr>
        <w:fldSimple w:instr=" PAGE   \* MERGEFORMAT ">
          <w:r w:rsidR="00C865E5">
            <w:rPr>
              <w:noProof/>
            </w:rPr>
            <w:t>9</w:t>
          </w:r>
        </w:fldSimple>
      </w:p>
    </w:sdtContent>
  </w:sdt>
  <w:p w:rsidR="00455B7C" w:rsidRDefault="00455B7C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B7C" w:rsidRDefault="00455B7C">
    <w:pPr>
      <w:pStyle w:val="ab"/>
      <w:jc w:val="center"/>
    </w:pPr>
  </w:p>
  <w:p w:rsidR="00455B7C" w:rsidRDefault="00455B7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03AE7A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146"/>
        </w:tabs>
        <w:ind w:left="1571" w:hanging="72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842"/>
        </w:tabs>
        <w:ind w:left="1288" w:hanging="720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 w:cs="Times New Roman"/>
      </w:r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7B1D0A"/>
    <w:multiLevelType w:val="multilevel"/>
    <w:tmpl w:val="FFFFFFFF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A76C2C"/>
    <w:multiLevelType w:val="multilevel"/>
    <w:tmpl w:val="3304B1D8"/>
    <w:lvl w:ilvl="0">
      <w:start w:val="2"/>
      <w:numFmt w:val="upperRoman"/>
      <w:lvlText w:val="%1."/>
      <w:lvlJc w:val="left"/>
      <w:pPr>
        <w:ind w:left="7667" w:hanging="72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2064" w:hanging="1530"/>
      </w:pPr>
      <w:rPr>
        <w:rFonts w:cs="Times New Roman" w:hint="default"/>
      </w:rPr>
    </w:lvl>
    <w:lvl w:ilvl="2">
      <w:start w:val="16"/>
      <w:numFmt w:val="decimal"/>
      <w:lvlText w:val="%3."/>
      <w:lvlJc w:val="left"/>
      <w:pPr>
        <w:ind w:left="2381" w:hanging="1530"/>
      </w:pPr>
      <w:rPr>
        <w:rFonts w:cs="Times New Roman" w:hint="default"/>
        <w:i w:val="0"/>
        <w:strike w:val="0"/>
        <w:color w:val="auto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12" w:hanging="153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86" w:hanging="153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53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cs="Times New Roman" w:hint="default"/>
      </w:rPr>
    </w:lvl>
  </w:abstractNum>
  <w:abstractNum w:abstractNumId="5">
    <w:nsid w:val="2408040A"/>
    <w:multiLevelType w:val="hybridMultilevel"/>
    <w:tmpl w:val="85DA7528"/>
    <w:lvl w:ilvl="0" w:tplc="735ACFAC">
      <w:start w:val="5"/>
      <w:numFmt w:val="upperRoman"/>
      <w:lvlText w:val="%1."/>
      <w:lvlJc w:val="left"/>
      <w:pPr>
        <w:ind w:left="766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94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16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  <w:rPr>
        <w:rFonts w:cs="Times New Roman"/>
      </w:rPr>
    </w:lvl>
  </w:abstractNum>
  <w:abstractNum w:abstractNumId="6">
    <w:nsid w:val="396510DD"/>
    <w:multiLevelType w:val="hybridMultilevel"/>
    <w:tmpl w:val="372AA7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1730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20FF"/>
    <w:rsid w:val="00077AA8"/>
    <w:rsid w:val="0008259F"/>
    <w:rsid w:val="00086976"/>
    <w:rsid w:val="00093328"/>
    <w:rsid w:val="000A097B"/>
    <w:rsid w:val="000A233A"/>
    <w:rsid w:val="000A5995"/>
    <w:rsid w:val="000B58B8"/>
    <w:rsid w:val="000C7FC2"/>
    <w:rsid w:val="000D66EA"/>
    <w:rsid w:val="000D6E5A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24CBD"/>
    <w:rsid w:val="00130F0E"/>
    <w:rsid w:val="00133FE6"/>
    <w:rsid w:val="00135A58"/>
    <w:rsid w:val="00136B0B"/>
    <w:rsid w:val="0014310D"/>
    <w:rsid w:val="001607A4"/>
    <w:rsid w:val="00162D56"/>
    <w:rsid w:val="00163DFD"/>
    <w:rsid w:val="00170AB7"/>
    <w:rsid w:val="001771CA"/>
    <w:rsid w:val="001830B1"/>
    <w:rsid w:val="00185068"/>
    <w:rsid w:val="001874D0"/>
    <w:rsid w:val="001930D6"/>
    <w:rsid w:val="00193557"/>
    <w:rsid w:val="00193EC6"/>
    <w:rsid w:val="00197736"/>
    <w:rsid w:val="001A10BE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7A36"/>
    <w:rsid w:val="001F21FE"/>
    <w:rsid w:val="001F4BA3"/>
    <w:rsid w:val="00214F2E"/>
    <w:rsid w:val="00215BE5"/>
    <w:rsid w:val="00220BBC"/>
    <w:rsid w:val="0022119E"/>
    <w:rsid w:val="002276B5"/>
    <w:rsid w:val="00231608"/>
    <w:rsid w:val="002417B9"/>
    <w:rsid w:val="00246BEA"/>
    <w:rsid w:val="002619DC"/>
    <w:rsid w:val="00261FFD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96864"/>
    <w:rsid w:val="002A224E"/>
    <w:rsid w:val="002A5777"/>
    <w:rsid w:val="002B3ABC"/>
    <w:rsid w:val="002B7B15"/>
    <w:rsid w:val="002C2603"/>
    <w:rsid w:val="002C42AF"/>
    <w:rsid w:val="002C7507"/>
    <w:rsid w:val="002D0634"/>
    <w:rsid w:val="002D1D33"/>
    <w:rsid w:val="002D4FF7"/>
    <w:rsid w:val="002E0A90"/>
    <w:rsid w:val="002F15EF"/>
    <w:rsid w:val="002F36BE"/>
    <w:rsid w:val="002F6431"/>
    <w:rsid w:val="002F6A6C"/>
    <w:rsid w:val="002F762B"/>
    <w:rsid w:val="00302284"/>
    <w:rsid w:val="0033345F"/>
    <w:rsid w:val="00335585"/>
    <w:rsid w:val="00335F7C"/>
    <w:rsid w:val="00337BCB"/>
    <w:rsid w:val="00342E50"/>
    <w:rsid w:val="00344C41"/>
    <w:rsid w:val="00350C45"/>
    <w:rsid w:val="00354676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B4E"/>
    <w:rsid w:val="003A7CC5"/>
    <w:rsid w:val="003B6BD7"/>
    <w:rsid w:val="003B6CD8"/>
    <w:rsid w:val="003B7656"/>
    <w:rsid w:val="003D23CE"/>
    <w:rsid w:val="003D5EB4"/>
    <w:rsid w:val="003E02AB"/>
    <w:rsid w:val="003E5FC1"/>
    <w:rsid w:val="003F1A6D"/>
    <w:rsid w:val="003F56B5"/>
    <w:rsid w:val="003F70A7"/>
    <w:rsid w:val="00403A9D"/>
    <w:rsid w:val="004360BC"/>
    <w:rsid w:val="004366F4"/>
    <w:rsid w:val="0043775D"/>
    <w:rsid w:val="00444A36"/>
    <w:rsid w:val="00455B7C"/>
    <w:rsid w:val="00456067"/>
    <w:rsid w:val="004570D1"/>
    <w:rsid w:val="00466027"/>
    <w:rsid w:val="00470252"/>
    <w:rsid w:val="00471EE3"/>
    <w:rsid w:val="004732FA"/>
    <w:rsid w:val="004733C5"/>
    <w:rsid w:val="004A15B2"/>
    <w:rsid w:val="004B21D5"/>
    <w:rsid w:val="004B24F7"/>
    <w:rsid w:val="004B61B7"/>
    <w:rsid w:val="004B7C23"/>
    <w:rsid w:val="004E064D"/>
    <w:rsid w:val="004E3EA0"/>
    <w:rsid w:val="004E61C7"/>
    <w:rsid w:val="004E6ABE"/>
    <w:rsid w:val="005038F1"/>
    <w:rsid w:val="005048BE"/>
    <w:rsid w:val="00517068"/>
    <w:rsid w:val="00524196"/>
    <w:rsid w:val="0052561D"/>
    <w:rsid w:val="005474F8"/>
    <w:rsid w:val="00553DDC"/>
    <w:rsid w:val="00554BE8"/>
    <w:rsid w:val="005747E5"/>
    <w:rsid w:val="005755F0"/>
    <w:rsid w:val="00582D3C"/>
    <w:rsid w:val="00591557"/>
    <w:rsid w:val="00596148"/>
    <w:rsid w:val="005A0F08"/>
    <w:rsid w:val="005A4E54"/>
    <w:rsid w:val="005B11A0"/>
    <w:rsid w:val="005C24E5"/>
    <w:rsid w:val="005C7953"/>
    <w:rsid w:val="005D467E"/>
    <w:rsid w:val="005D6076"/>
    <w:rsid w:val="005E1D33"/>
    <w:rsid w:val="005E4E67"/>
    <w:rsid w:val="005F62D6"/>
    <w:rsid w:val="005F68CE"/>
    <w:rsid w:val="00605851"/>
    <w:rsid w:val="00611049"/>
    <w:rsid w:val="006360F1"/>
    <w:rsid w:val="00637BDB"/>
    <w:rsid w:val="00637EF7"/>
    <w:rsid w:val="0064102E"/>
    <w:rsid w:val="00642EC6"/>
    <w:rsid w:val="0065429C"/>
    <w:rsid w:val="006624E5"/>
    <w:rsid w:val="00664DDB"/>
    <w:rsid w:val="0066630C"/>
    <w:rsid w:val="00671758"/>
    <w:rsid w:val="00681EC0"/>
    <w:rsid w:val="00687A39"/>
    <w:rsid w:val="00696DBE"/>
    <w:rsid w:val="006A3F61"/>
    <w:rsid w:val="006A5DDD"/>
    <w:rsid w:val="006B286F"/>
    <w:rsid w:val="006B552D"/>
    <w:rsid w:val="006B72FC"/>
    <w:rsid w:val="006C379F"/>
    <w:rsid w:val="006D2576"/>
    <w:rsid w:val="006D38CC"/>
    <w:rsid w:val="006D3AF6"/>
    <w:rsid w:val="006D5A18"/>
    <w:rsid w:val="006D6D9B"/>
    <w:rsid w:val="006E038E"/>
    <w:rsid w:val="006E1D62"/>
    <w:rsid w:val="006F573C"/>
    <w:rsid w:val="006F75CC"/>
    <w:rsid w:val="006F7F74"/>
    <w:rsid w:val="0070609C"/>
    <w:rsid w:val="0072169E"/>
    <w:rsid w:val="00721FDF"/>
    <w:rsid w:val="007325F1"/>
    <w:rsid w:val="00742F58"/>
    <w:rsid w:val="00743329"/>
    <w:rsid w:val="007459BA"/>
    <w:rsid w:val="007509A5"/>
    <w:rsid w:val="00761B43"/>
    <w:rsid w:val="00764539"/>
    <w:rsid w:val="00782A94"/>
    <w:rsid w:val="00783141"/>
    <w:rsid w:val="00797D0C"/>
    <w:rsid w:val="007A0C22"/>
    <w:rsid w:val="007A2DB3"/>
    <w:rsid w:val="007A49B0"/>
    <w:rsid w:val="007B060B"/>
    <w:rsid w:val="007B1621"/>
    <w:rsid w:val="007B2767"/>
    <w:rsid w:val="007B4427"/>
    <w:rsid w:val="007B49C5"/>
    <w:rsid w:val="007C10BF"/>
    <w:rsid w:val="007D33D7"/>
    <w:rsid w:val="007D6303"/>
    <w:rsid w:val="00806FB6"/>
    <w:rsid w:val="00817C65"/>
    <w:rsid w:val="00824B91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4DBC"/>
    <w:rsid w:val="00895424"/>
    <w:rsid w:val="008967A1"/>
    <w:rsid w:val="008A0775"/>
    <w:rsid w:val="008A2ED4"/>
    <w:rsid w:val="008A4EA6"/>
    <w:rsid w:val="008A794B"/>
    <w:rsid w:val="008B164F"/>
    <w:rsid w:val="008B3D60"/>
    <w:rsid w:val="008C1CCD"/>
    <w:rsid w:val="008C44B1"/>
    <w:rsid w:val="008C587E"/>
    <w:rsid w:val="008C5AC7"/>
    <w:rsid w:val="008C6946"/>
    <w:rsid w:val="008D0C16"/>
    <w:rsid w:val="008D1885"/>
    <w:rsid w:val="008D6003"/>
    <w:rsid w:val="008E1C63"/>
    <w:rsid w:val="008E5D3E"/>
    <w:rsid w:val="008F7CA2"/>
    <w:rsid w:val="00901847"/>
    <w:rsid w:val="009024BC"/>
    <w:rsid w:val="009067E7"/>
    <w:rsid w:val="0090784F"/>
    <w:rsid w:val="009131DC"/>
    <w:rsid w:val="009236E4"/>
    <w:rsid w:val="00923B42"/>
    <w:rsid w:val="00927EAE"/>
    <w:rsid w:val="00944DD4"/>
    <w:rsid w:val="00950A76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9F6EFA"/>
    <w:rsid w:val="00A00204"/>
    <w:rsid w:val="00A14C2E"/>
    <w:rsid w:val="00A2140C"/>
    <w:rsid w:val="00A215E3"/>
    <w:rsid w:val="00A25AFC"/>
    <w:rsid w:val="00A32DFF"/>
    <w:rsid w:val="00A33DA0"/>
    <w:rsid w:val="00A40C3E"/>
    <w:rsid w:val="00A43A5C"/>
    <w:rsid w:val="00A44B1D"/>
    <w:rsid w:val="00A56F3E"/>
    <w:rsid w:val="00A61D2E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07A"/>
    <w:rsid w:val="00AE5581"/>
    <w:rsid w:val="00AF07E6"/>
    <w:rsid w:val="00B02E64"/>
    <w:rsid w:val="00B04DF5"/>
    <w:rsid w:val="00B057C3"/>
    <w:rsid w:val="00B148D0"/>
    <w:rsid w:val="00B3452B"/>
    <w:rsid w:val="00B347A7"/>
    <w:rsid w:val="00B477F8"/>
    <w:rsid w:val="00B626BC"/>
    <w:rsid w:val="00B65631"/>
    <w:rsid w:val="00B716F3"/>
    <w:rsid w:val="00B76C98"/>
    <w:rsid w:val="00B800C1"/>
    <w:rsid w:val="00B8463B"/>
    <w:rsid w:val="00B86E76"/>
    <w:rsid w:val="00B960A2"/>
    <w:rsid w:val="00B97BE5"/>
    <w:rsid w:val="00BC12A1"/>
    <w:rsid w:val="00BC1897"/>
    <w:rsid w:val="00BC1BC1"/>
    <w:rsid w:val="00BD1B4A"/>
    <w:rsid w:val="00BD1F5F"/>
    <w:rsid w:val="00BE049F"/>
    <w:rsid w:val="00BE17EA"/>
    <w:rsid w:val="00C26981"/>
    <w:rsid w:val="00C53AB2"/>
    <w:rsid w:val="00C54D7F"/>
    <w:rsid w:val="00C56F50"/>
    <w:rsid w:val="00C57FE3"/>
    <w:rsid w:val="00C60F59"/>
    <w:rsid w:val="00C653CC"/>
    <w:rsid w:val="00C70430"/>
    <w:rsid w:val="00C71AC1"/>
    <w:rsid w:val="00C731A2"/>
    <w:rsid w:val="00C76652"/>
    <w:rsid w:val="00C82EB9"/>
    <w:rsid w:val="00C865E5"/>
    <w:rsid w:val="00C960B1"/>
    <w:rsid w:val="00CA1D2B"/>
    <w:rsid w:val="00CA6C6A"/>
    <w:rsid w:val="00CB48A5"/>
    <w:rsid w:val="00CC24DC"/>
    <w:rsid w:val="00CC57F8"/>
    <w:rsid w:val="00CC5CB2"/>
    <w:rsid w:val="00CD60D0"/>
    <w:rsid w:val="00CD7E3A"/>
    <w:rsid w:val="00CE3ED6"/>
    <w:rsid w:val="00CF0949"/>
    <w:rsid w:val="00CF4528"/>
    <w:rsid w:val="00D01C2C"/>
    <w:rsid w:val="00D02BFD"/>
    <w:rsid w:val="00D04D4C"/>
    <w:rsid w:val="00D109C4"/>
    <w:rsid w:val="00D37BAC"/>
    <w:rsid w:val="00D44122"/>
    <w:rsid w:val="00D453A1"/>
    <w:rsid w:val="00D46DC5"/>
    <w:rsid w:val="00D4710C"/>
    <w:rsid w:val="00D54B1D"/>
    <w:rsid w:val="00D55EFF"/>
    <w:rsid w:val="00D60477"/>
    <w:rsid w:val="00D60550"/>
    <w:rsid w:val="00D6397F"/>
    <w:rsid w:val="00D71B11"/>
    <w:rsid w:val="00D723A8"/>
    <w:rsid w:val="00D74992"/>
    <w:rsid w:val="00D81F1A"/>
    <w:rsid w:val="00D832E8"/>
    <w:rsid w:val="00D87A63"/>
    <w:rsid w:val="00D95663"/>
    <w:rsid w:val="00D96313"/>
    <w:rsid w:val="00DB0D1D"/>
    <w:rsid w:val="00DC566F"/>
    <w:rsid w:val="00DC736F"/>
    <w:rsid w:val="00DD5C34"/>
    <w:rsid w:val="00DE225D"/>
    <w:rsid w:val="00DF17A3"/>
    <w:rsid w:val="00DF409F"/>
    <w:rsid w:val="00E00A03"/>
    <w:rsid w:val="00E033DA"/>
    <w:rsid w:val="00E11330"/>
    <w:rsid w:val="00E11F26"/>
    <w:rsid w:val="00E14E92"/>
    <w:rsid w:val="00E1668A"/>
    <w:rsid w:val="00E21F3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560B"/>
    <w:rsid w:val="00EE3C1E"/>
    <w:rsid w:val="00EF3017"/>
    <w:rsid w:val="00F00E04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173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99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paragraph" w:customStyle="1" w:styleId="110">
    <w:name w:val="Абзац списка11"/>
    <w:basedOn w:val="a"/>
    <w:rsid w:val="009F6EFA"/>
    <w:pPr>
      <w:ind w:left="720"/>
      <w:contextualSpacing/>
    </w:pPr>
  </w:style>
  <w:style w:type="paragraph" w:customStyle="1" w:styleId="120">
    <w:name w:val="Абзац списка12"/>
    <w:basedOn w:val="a"/>
    <w:rsid w:val="009F6EFA"/>
    <w:pPr>
      <w:ind w:left="720"/>
      <w:contextualSpacing/>
    </w:pPr>
  </w:style>
  <w:style w:type="paragraph" w:customStyle="1" w:styleId="2a">
    <w:name w:val="Без интервала2"/>
    <w:rsid w:val="00895424"/>
    <w:rPr>
      <w:rFonts w:ascii="Calibri" w:hAnsi="Calibri"/>
      <w:sz w:val="22"/>
      <w:szCs w:val="22"/>
    </w:rPr>
  </w:style>
  <w:style w:type="paragraph" w:customStyle="1" w:styleId="FORMATTEXT0">
    <w:name w:val=".FORMATTEXT"/>
    <w:rsid w:val="008954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f2">
    <w:name w:val="Обычный1"/>
    <w:basedOn w:val="a"/>
    <w:rsid w:val="005D6076"/>
    <w:pPr>
      <w:spacing w:before="150" w:line="270" w:lineRule="atLeast"/>
    </w:pPr>
  </w:style>
  <w:style w:type="paragraph" w:customStyle="1" w:styleId="1f3">
    <w:name w:val="нум список 1"/>
    <w:basedOn w:val="a"/>
    <w:rsid w:val="005D6076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140">
    <w:name w:val="Обычный + 14 пт Знак"/>
    <w:basedOn w:val="a0"/>
    <w:link w:val="141"/>
    <w:locked/>
    <w:rsid w:val="005D6076"/>
    <w:rPr>
      <w:sz w:val="28"/>
      <w:szCs w:val="28"/>
      <w:lang w:eastAsia="ar-SA"/>
    </w:rPr>
  </w:style>
  <w:style w:type="paragraph" w:customStyle="1" w:styleId="141">
    <w:name w:val="Обычный + 14 пт"/>
    <w:basedOn w:val="a"/>
    <w:link w:val="140"/>
    <w:rsid w:val="005D6076"/>
    <w:pPr>
      <w:suppressAutoHyphens/>
    </w:pPr>
    <w:rPr>
      <w:sz w:val="28"/>
      <w:szCs w:val="28"/>
      <w:lang w:eastAsia="ar-SA"/>
    </w:rPr>
  </w:style>
  <w:style w:type="paragraph" w:customStyle="1" w:styleId="formattexttopleveltext">
    <w:name w:val="formattext topleveltext"/>
    <w:basedOn w:val="a"/>
    <w:rsid w:val="005D6076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rsid w:val="005D6076"/>
    <w:pPr>
      <w:spacing w:before="100" w:beforeAutospacing="1" w:after="100" w:afterAutospacing="1"/>
    </w:pPr>
  </w:style>
  <w:style w:type="paragraph" w:customStyle="1" w:styleId="ndfhfb-c4yzdc-cysp0e-darucf-df1zy-eegnhe">
    <w:name w:val="ndfhfb-c4yzdc-cysp0e-darucf-df1zy-eegnhe"/>
    <w:basedOn w:val="a"/>
    <w:rsid w:val="00927EA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F47A9-8F41-431E-9BF3-2DE4D608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4469</Words>
  <Characters>25479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29889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2022-05-26T04:39:00Z</cp:lastPrinted>
  <dcterms:created xsi:type="dcterms:W3CDTF">2022-10-24T10:27:00Z</dcterms:created>
  <dcterms:modified xsi:type="dcterms:W3CDTF">2022-10-24T10:27:00Z</dcterms:modified>
</cp:coreProperties>
</file>