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E61E7">
      <w:pPr>
        <w:autoSpaceDE w:val="0"/>
        <w:spacing w:line="340" w:lineRule="exact"/>
        <w:jc w:val="right"/>
        <w:rPr>
          <w:b/>
          <w:bCs/>
        </w:rPr>
      </w:pPr>
      <w:r>
        <w:rPr>
          <w:rFonts w:ascii="Segoe UI" w:eastAsia="Segoe UI" w:hAnsi="Segoe UI" w:cs="Segoe UI"/>
          <w:b/>
          <w:bCs/>
          <w:color w:val="000000"/>
          <w:sz w:val="28"/>
          <w:szCs w:val="28"/>
        </w:rPr>
        <w:t>Приложение 5</w:t>
      </w:r>
    </w:p>
    <w:p w:rsidR="00000000" w:rsidRDefault="008E61E7">
      <w:pPr>
        <w:rPr>
          <w:b/>
          <w:bCs/>
        </w:rPr>
      </w:pPr>
    </w:p>
    <w:p w:rsidR="00000000" w:rsidRDefault="008E61E7">
      <w:pPr>
        <w:jc w:val="center"/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 xml:space="preserve">Что предпринять, чтобы зарегистрировать право собственности на основании старых документов на землю </w:t>
      </w:r>
    </w:p>
    <w:p w:rsidR="00000000" w:rsidRDefault="008E61E7">
      <w:pPr>
        <w:jc w:val="center"/>
        <w:rPr>
          <w:rFonts w:ascii="Segoe UI" w:hAnsi="Segoe UI" w:cs="Segoe UI"/>
          <w:b/>
          <w:bCs/>
          <w:sz w:val="28"/>
          <w:szCs w:val="28"/>
        </w:rPr>
      </w:pPr>
    </w:p>
    <w:p w:rsidR="00000000" w:rsidRDefault="008E61E7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Право собственности на земельные участки, предоставленные до 30.10.2001 (до вступления в действие Земельного кодекса РФ) для ведения личного</w:t>
      </w:r>
      <w:r>
        <w:rPr>
          <w:rFonts w:ascii="Segoe UI" w:hAnsi="Segoe UI" w:cs="Segoe UI"/>
          <w:sz w:val="28"/>
          <w:szCs w:val="28"/>
        </w:rPr>
        <w:t xml:space="preserve"> подсобного или дачного хозяйства, огородничества, садоводства, можно зарегистрировать в упрощенном порядке.</w:t>
      </w:r>
    </w:p>
    <w:p w:rsidR="00000000" w:rsidRDefault="008E61E7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Для регистрации права собственности на такой земельный участок в МФЦ надо представить заявление на государственную регистрацию прав и любой докумен</w:t>
      </w:r>
      <w:r>
        <w:rPr>
          <w:rFonts w:ascii="Segoe UI" w:hAnsi="Segoe UI" w:cs="Segoe UI"/>
          <w:sz w:val="28"/>
          <w:szCs w:val="28"/>
        </w:rPr>
        <w:t>т, который подтверждает право гражданина на земельный участок.</w:t>
      </w:r>
    </w:p>
    <w:p w:rsidR="00000000" w:rsidRDefault="008E61E7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Документом, подтверждающим право на земельный участок, может быть:</w:t>
      </w:r>
    </w:p>
    <w:p w:rsidR="00000000" w:rsidRDefault="008E61E7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- акт органа государственной власти или органа местного самоуправления о выделении земельного участка;</w:t>
      </w:r>
    </w:p>
    <w:p w:rsidR="00000000" w:rsidRDefault="008E61E7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- свидетельство о праве</w:t>
      </w:r>
      <w:r>
        <w:rPr>
          <w:rFonts w:ascii="Segoe UI" w:hAnsi="Segoe UI" w:cs="Segoe UI"/>
          <w:sz w:val="28"/>
          <w:szCs w:val="28"/>
        </w:rPr>
        <w:t xml:space="preserve"> гражданина на участок.</w:t>
      </w:r>
    </w:p>
    <w:p w:rsidR="00000000" w:rsidRDefault="008E61E7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Если таких документов нет, можно представить выписку из похозяйственной книги, которую выдает орган местного самоуправления.</w:t>
      </w:r>
    </w:p>
    <w:p w:rsidR="00000000" w:rsidRDefault="008E61E7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Право собственности на земельный участок будет зарегистрировано за гражданином независимо от вида права, на</w:t>
      </w:r>
      <w:r>
        <w:rPr>
          <w:rFonts w:ascii="Segoe UI" w:hAnsi="Segoe UI" w:cs="Segoe UI"/>
          <w:sz w:val="28"/>
          <w:szCs w:val="28"/>
        </w:rPr>
        <w:t xml:space="preserve"> котором земельный участок был предоставлен ему ранее (на праве собственности, пожизненного наследуемого владения или постоянного (бессрочного) пользования). Если гражданин владел участком на праве пожизненного наследуемого владения или постоянного (бессро</w:t>
      </w:r>
      <w:r>
        <w:rPr>
          <w:rFonts w:ascii="Segoe UI" w:hAnsi="Segoe UI" w:cs="Segoe UI"/>
          <w:sz w:val="28"/>
          <w:szCs w:val="28"/>
        </w:rPr>
        <w:t>чного) пользования, такое право прекращается с момента регистрации права собственности на участок.</w:t>
      </w:r>
    </w:p>
    <w:p w:rsidR="00000000" w:rsidRDefault="008E61E7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Если в акте, свидетельстве или другом документе, устанавливающим или удостоверяющим право гражданина на указанный земельный участок, не указано право, на кот</w:t>
      </w:r>
      <w:r>
        <w:rPr>
          <w:rFonts w:ascii="Segoe UI" w:hAnsi="Segoe UI" w:cs="Segoe UI"/>
          <w:sz w:val="28"/>
          <w:szCs w:val="28"/>
        </w:rPr>
        <w:t>ором предоставлен указанный земельный участок, или невозможно определить вид этого права, считается, что участок предоставлен гражданину на праве собственности. В этом случае регистрация права собственности также будет произведена.</w:t>
      </w:r>
    </w:p>
    <w:p w:rsidR="00000000" w:rsidRDefault="008E61E7">
      <w:pPr>
        <w:ind w:firstLine="726"/>
        <w:jc w:val="both"/>
        <w:rPr>
          <w:rFonts w:ascii="Segoe UI" w:hAnsi="Segoe UI" w:cs="Segoe UI"/>
          <w:sz w:val="28"/>
          <w:szCs w:val="28"/>
        </w:rPr>
      </w:pPr>
    </w:p>
    <w:p w:rsidR="00000000" w:rsidRDefault="008E61E7">
      <w:pPr>
        <w:ind w:firstLine="726"/>
        <w:jc w:val="both"/>
        <w:rPr>
          <w:rFonts w:ascii="Segoe UI" w:hAnsi="Segoe UI" w:cs="Segoe UI"/>
          <w:sz w:val="28"/>
          <w:szCs w:val="28"/>
        </w:rPr>
      </w:pPr>
    </w:p>
    <w:p w:rsidR="00000000" w:rsidRDefault="008E61E7">
      <w:pPr>
        <w:ind w:firstLine="726"/>
        <w:jc w:val="both"/>
        <w:rPr>
          <w:rFonts w:ascii="Segoe UI" w:hAnsi="Segoe UI" w:cs="Segoe UI"/>
          <w:sz w:val="28"/>
          <w:szCs w:val="28"/>
        </w:rPr>
      </w:pPr>
    </w:p>
    <w:p w:rsidR="00000000" w:rsidRDefault="008E61E7">
      <w:pPr>
        <w:ind w:firstLine="726"/>
        <w:jc w:val="both"/>
        <w:rPr>
          <w:rFonts w:ascii="Segoe UI" w:hAnsi="Segoe UI" w:cs="Segoe UI"/>
          <w:sz w:val="28"/>
          <w:szCs w:val="28"/>
        </w:rPr>
      </w:pPr>
    </w:p>
    <w:p w:rsidR="00000000" w:rsidRDefault="008E61E7">
      <w:pPr>
        <w:jc w:val="right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 xml:space="preserve">Пресс-служба </w:t>
      </w:r>
    </w:p>
    <w:p w:rsidR="00000000" w:rsidRDefault="008E61E7">
      <w:pPr>
        <w:jc w:val="right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>Кадаст</w:t>
      </w:r>
      <w:r>
        <w:rPr>
          <w:rFonts w:ascii="Segoe UI" w:hAnsi="Segoe UI" w:cs="Segoe UI"/>
          <w:b/>
          <w:bCs/>
        </w:rPr>
        <w:t xml:space="preserve">ровой палаты </w:t>
      </w:r>
    </w:p>
    <w:p w:rsidR="008E61E7" w:rsidRDefault="008E61E7">
      <w:pPr>
        <w:jc w:val="right"/>
      </w:pPr>
      <w:r>
        <w:rPr>
          <w:rFonts w:ascii="Segoe UI" w:hAnsi="Segoe UI" w:cs="Segoe UI"/>
          <w:b/>
          <w:bCs/>
        </w:rPr>
        <w:t>по Республике Башкортостан</w:t>
      </w:r>
    </w:p>
    <w:sectPr w:rsidR="008E61E7">
      <w:pgSz w:w="11906" w:h="16838"/>
      <w:pgMar w:top="465" w:right="567" w:bottom="48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E56721"/>
    <w:rsid w:val="008E61E7"/>
    <w:rsid w:val="00E56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  <w:lang/>
    </w:rPr>
  </w:style>
  <w:style w:type="character" w:styleId="a4">
    <w:name w:val="FollowedHyperlink"/>
    <w:rPr>
      <w:color w:val="800000"/>
      <w:u w:val="single"/>
      <w:lang/>
    </w:rPr>
  </w:style>
  <w:style w:type="character" w:customStyle="1" w:styleId="a5">
    <w:name w:val="Маркеры списка"/>
    <w:rPr>
      <w:rFonts w:ascii="OpenSymbol" w:eastAsia="OpenSymbol" w:hAnsi="OpenSymbol" w:cs="OpenSymbol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</w:style>
  <w:style w:type="paragraph" w:customStyle="1" w:styleId="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1601-01-01T00:00:00Z</cp:lastPrinted>
  <dcterms:created xsi:type="dcterms:W3CDTF">2019-07-26T09:15:00Z</dcterms:created>
  <dcterms:modified xsi:type="dcterms:W3CDTF">2019-07-26T09:15:00Z</dcterms:modified>
</cp:coreProperties>
</file>